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hAnsi="仿宋" w:eastAsia="仿宋_GB2312"/>
          <w:sz w:val="32"/>
          <w:szCs w:val="32"/>
        </w:rPr>
      </w:pPr>
    </w:p>
    <w:p>
      <w:pPr>
        <w:spacing w:line="520" w:lineRule="exact"/>
        <w:jc w:val="center"/>
        <w:rPr>
          <w:rFonts w:hint="eastAsia" w:ascii="仿宋_GB2312" w:hAnsi="仿宋" w:eastAsia="仿宋_GB2312"/>
          <w:sz w:val="32"/>
          <w:szCs w:val="32"/>
        </w:rPr>
      </w:pPr>
    </w:p>
    <w:p>
      <w:pPr>
        <w:spacing w:line="520" w:lineRule="exact"/>
        <w:jc w:val="center"/>
        <w:rPr>
          <w:rFonts w:hint="eastAsia" w:ascii="仿宋_GB2312" w:hAnsi="仿宋" w:eastAsia="仿宋_GB2312"/>
          <w:sz w:val="32"/>
          <w:szCs w:val="32"/>
        </w:rPr>
      </w:pPr>
    </w:p>
    <w:p>
      <w:pPr>
        <w:spacing w:line="520" w:lineRule="exact"/>
        <w:jc w:val="center"/>
        <w:rPr>
          <w:rFonts w:hint="eastAsia" w:ascii="仿宋_GB2312" w:hAnsi="仿宋" w:eastAsia="仿宋_GB2312"/>
          <w:sz w:val="32"/>
          <w:szCs w:val="32"/>
        </w:rPr>
      </w:pPr>
    </w:p>
    <w:p>
      <w:pPr>
        <w:spacing w:line="520" w:lineRule="exact"/>
        <w:jc w:val="center"/>
        <w:rPr>
          <w:rFonts w:hint="eastAsia" w:ascii="仿宋_GB2312" w:hAnsi="仿宋" w:eastAsia="仿宋_GB2312"/>
          <w:sz w:val="32"/>
          <w:szCs w:val="32"/>
        </w:rPr>
      </w:pPr>
    </w:p>
    <w:p>
      <w:pPr>
        <w:spacing w:line="520" w:lineRule="exact"/>
        <w:jc w:val="center"/>
        <w:rPr>
          <w:rFonts w:hint="eastAsia" w:ascii="仿宋_GB2312" w:hAnsi="仿宋" w:eastAsia="仿宋_GB2312"/>
          <w:sz w:val="32"/>
          <w:szCs w:val="32"/>
        </w:rPr>
      </w:pPr>
    </w:p>
    <w:p>
      <w:pPr>
        <w:spacing w:line="520" w:lineRule="exact"/>
        <w:jc w:val="center"/>
        <w:rPr>
          <w:rFonts w:hint="eastAsia"/>
          <w:sz w:val="32"/>
          <w:szCs w:val="32"/>
        </w:rPr>
      </w:pPr>
      <w:r>
        <w:rPr>
          <w:rFonts w:hint="eastAsia" w:ascii="仿宋_GB2312" w:hAnsi="仿宋" w:eastAsia="仿宋_GB2312"/>
          <w:sz w:val="32"/>
          <w:szCs w:val="32"/>
        </w:rPr>
        <w:t>台财综指〔2022〕7号</w:t>
      </w:r>
    </w:p>
    <w:p>
      <w:pPr>
        <w:spacing w:line="520" w:lineRule="exact"/>
        <w:rPr>
          <w:rFonts w:hint="eastAsia"/>
          <w:sz w:val="32"/>
          <w:szCs w:val="32"/>
        </w:rPr>
      </w:pPr>
    </w:p>
    <w:p>
      <w:pPr>
        <w:spacing w:line="600" w:lineRule="exact"/>
        <w:ind w:right="25" w:rightChars="12"/>
        <w:jc w:val="center"/>
        <w:rPr>
          <w:rFonts w:hint="eastAsia" w:ascii="方正小标宋简体" w:hAnsi="新宋体" w:eastAsia="方正小标宋简体"/>
          <w:b/>
          <w:sz w:val="44"/>
          <w:szCs w:val="44"/>
        </w:rPr>
      </w:pPr>
      <w:r>
        <w:rPr>
          <w:rFonts w:hint="eastAsia" w:ascii="方正小标宋简体" w:hAnsi="新宋体" w:eastAsia="方正小标宋简体"/>
          <w:b/>
          <w:sz w:val="44"/>
          <w:szCs w:val="44"/>
        </w:rPr>
        <w:t>关于下达2022年中央财政城镇保障性安居</w:t>
      </w:r>
    </w:p>
    <w:p>
      <w:pPr>
        <w:spacing w:line="600" w:lineRule="exact"/>
        <w:ind w:right="25" w:rightChars="12"/>
        <w:jc w:val="center"/>
        <w:rPr>
          <w:rFonts w:hint="eastAsia" w:ascii="方正小标宋简体" w:hAnsi="新宋体" w:eastAsia="方正小标宋简体"/>
          <w:b/>
          <w:sz w:val="44"/>
          <w:szCs w:val="44"/>
        </w:rPr>
      </w:pPr>
      <w:r>
        <w:rPr>
          <w:rFonts w:hint="eastAsia" w:ascii="方正小标宋简体" w:hAnsi="新宋体" w:eastAsia="方正小标宋简体"/>
          <w:b/>
          <w:sz w:val="44"/>
          <w:szCs w:val="44"/>
        </w:rPr>
        <w:t>工程补助资金预算指标的通知</w:t>
      </w:r>
    </w:p>
    <w:p>
      <w:pPr>
        <w:spacing w:line="480" w:lineRule="exact"/>
        <w:rPr>
          <w:rFonts w:hint="eastAsia" w:ascii="宋体" w:hAnsi="宋体"/>
          <w:b/>
          <w:sz w:val="44"/>
          <w:szCs w:val="44"/>
        </w:rPr>
      </w:pPr>
    </w:p>
    <w:p>
      <w:pPr>
        <w:spacing w:line="500" w:lineRule="exact"/>
        <w:rPr>
          <w:rFonts w:hint="eastAsia" w:ascii="仿宋" w:hAnsi="仿宋" w:eastAsia="仿宋"/>
          <w:sz w:val="32"/>
          <w:szCs w:val="32"/>
        </w:rPr>
      </w:pPr>
      <w:r>
        <w:rPr>
          <w:rFonts w:hint="eastAsia" w:ascii="仿宋_GB2312" w:hAnsi="仿宋" w:eastAsia="仿宋_GB2312"/>
          <w:sz w:val="32"/>
          <w:szCs w:val="32"/>
        </w:rPr>
        <w:t>区</w:t>
      </w:r>
      <w:r>
        <w:rPr>
          <w:rFonts w:ascii="仿宋_GB2312" w:hAnsi="仿宋" w:eastAsia="仿宋_GB2312"/>
          <w:sz w:val="32"/>
          <w:szCs w:val="32"/>
        </w:rPr>
        <w:t>住房和城乡建设局</w:t>
      </w:r>
      <w:r>
        <w:rPr>
          <w:rFonts w:hint="eastAsia" w:ascii="仿宋" w:hAnsi="仿宋" w:eastAsia="仿宋"/>
          <w:sz w:val="32"/>
          <w:szCs w:val="32"/>
        </w:rPr>
        <w:t>：</w:t>
      </w:r>
    </w:p>
    <w:p>
      <w:pPr>
        <w:spacing w:line="600" w:lineRule="exact"/>
        <w:ind w:right="25" w:rightChars="12" w:firstLine="640"/>
        <w:jc w:val="left"/>
        <w:rPr>
          <w:rFonts w:hint="eastAsia" w:ascii="仿宋" w:hAnsi="仿宋" w:eastAsia="仿宋"/>
          <w:sz w:val="32"/>
          <w:szCs w:val="32"/>
        </w:rPr>
      </w:pPr>
      <w:r>
        <w:rPr>
          <w:rFonts w:hint="eastAsia" w:ascii="仿宋" w:hAnsi="仿宋" w:eastAsia="仿宋"/>
          <w:sz w:val="32"/>
          <w:szCs w:val="32"/>
        </w:rPr>
        <w:t>根据《山东省财政厅关于下达2022年中央财政城镇保障性 安居工程补助资金预算指标的通知》(鲁财综指〔2022〕12号) 和市住建局提出的分配意见及中央、省、市住房保障资金管理等有关规定,经研究,现就下达2022年中央财政城镇保障性安居工程补助资金预算指标有关事宜通知如下:</w:t>
      </w:r>
    </w:p>
    <w:p>
      <w:pPr>
        <w:spacing w:line="600" w:lineRule="exact"/>
        <w:ind w:right="25" w:rightChars="12" w:firstLine="640"/>
        <w:jc w:val="left"/>
        <w:rPr>
          <w:rFonts w:hint="eastAsia" w:ascii="仿宋" w:hAnsi="仿宋" w:eastAsia="仿宋"/>
          <w:sz w:val="32"/>
          <w:szCs w:val="32"/>
        </w:rPr>
      </w:pPr>
      <w:r>
        <w:rPr>
          <w:rFonts w:hint="eastAsia" w:ascii="仿宋" w:hAnsi="仿宋" w:eastAsia="仿宋"/>
          <w:sz w:val="32"/>
          <w:szCs w:val="32"/>
        </w:rPr>
        <w:t>本次下达资金预算指标</w:t>
      </w:r>
      <w:r>
        <w:rPr>
          <w:rFonts w:hint="eastAsia" w:ascii="仿宋" w:hAnsi="仿宋" w:eastAsia="仿宋"/>
          <w:sz w:val="32"/>
          <w:szCs w:val="32"/>
          <w:lang w:val="en-US" w:eastAsia="zh-CN"/>
        </w:rPr>
        <w:t>101</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资金编</w:t>
      </w:r>
      <w:r>
        <w:rPr>
          <w:rFonts w:hint="eastAsia" w:ascii="仿宋" w:hAnsi="仿宋" w:eastAsia="仿宋"/>
          <w:sz w:val="32"/>
          <w:szCs w:val="32"/>
          <w:lang w:eastAsia="zh-CN"/>
        </w:rPr>
        <w:t>码为</w:t>
      </w:r>
      <w:r>
        <w:rPr>
          <w:rFonts w:hint="eastAsia" w:ascii="仿宋" w:hAnsi="仿宋" w:eastAsia="仿宋"/>
          <w:spacing w:val="23"/>
          <w:sz w:val="32"/>
          <w:szCs w:val="32"/>
        </w:rPr>
        <w:t>Z1350800028</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收入列2022年“1100258住房保障共同财政事权转移支付收入"科目,支出按用途列2022年</w:t>
      </w:r>
      <w:r>
        <w:rPr>
          <w:rFonts w:hint="eastAsia" w:ascii="仿宋" w:hAnsi="仿宋" w:eastAsia="仿宋"/>
          <w:sz w:val="32"/>
          <w:szCs w:val="32"/>
          <w:lang w:eastAsia="zh-CN"/>
        </w:rPr>
        <w:t>“</w:t>
      </w:r>
      <w:r>
        <w:rPr>
          <w:rFonts w:hint="eastAsia" w:ascii="仿宋" w:hAnsi="仿宋" w:eastAsia="仿宋"/>
          <w:sz w:val="32"/>
          <w:szCs w:val="32"/>
        </w:rPr>
        <w:t>2210108老旧小区改造</w:t>
      </w:r>
      <w:r>
        <w:rPr>
          <w:rFonts w:hint="eastAsia" w:ascii="仿宋" w:hAnsi="仿宋" w:eastAsia="仿宋"/>
          <w:sz w:val="32"/>
          <w:szCs w:val="32"/>
          <w:lang w:eastAsia="zh-CN"/>
        </w:rPr>
        <w:t>”</w:t>
      </w:r>
      <w:r>
        <w:rPr>
          <w:rFonts w:hint="eastAsia" w:ascii="仿宋" w:hAnsi="仿宋" w:eastAsia="仿宋"/>
          <w:sz w:val="32"/>
          <w:szCs w:val="32"/>
        </w:rPr>
        <w:t>科目。中央财政城镇保障性安居工程补助资金已纳入中央直达 资金管理,该项直达资金标识为"01中央直达资金",直达资金标识要贯穿资金分配、拨付、使用等整个环节,且保持不变。</w:t>
      </w:r>
    </w:p>
    <w:p>
      <w:pPr>
        <w:spacing w:line="600" w:lineRule="exact"/>
        <w:ind w:right="25" w:rightChars="12" w:firstLine="640"/>
        <w:jc w:val="left"/>
        <w:rPr>
          <w:rFonts w:hint="eastAsia" w:ascii="仿宋" w:hAnsi="仿宋" w:eastAsia="仿宋"/>
          <w:sz w:val="32"/>
          <w:szCs w:val="32"/>
        </w:rPr>
      </w:pPr>
      <w:r>
        <w:rPr>
          <w:rFonts w:hint="eastAsia" w:ascii="仿宋" w:hAnsi="仿宋" w:eastAsia="仿宋"/>
          <w:sz w:val="32"/>
          <w:szCs w:val="32"/>
        </w:rPr>
        <w:t>按照《中共枣庄市委枣庄市人民政府关于全面推进预算绩效管理的实施意见》(枣发〔2019〕21号)规定,要及时完善区域绩效目标,做好绩效运行监控,加快预算执行进度,切实提高资金使用效益,确保绩效目标如期实现。</w:t>
      </w:r>
    </w:p>
    <w:p>
      <w:pPr>
        <w:spacing w:line="600" w:lineRule="exact"/>
        <w:ind w:right="25" w:rightChars="12" w:firstLine="640"/>
        <w:jc w:val="left"/>
        <w:rPr>
          <w:rFonts w:hint="eastAsia" w:ascii="仿宋" w:hAnsi="仿宋" w:eastAsia="仿宋"/>
          <w:sz w:val="32"/>
          <w:szCs w:val="32"/>
        </w:rPr>
      </w:pPr>
    </w:p>
    <w:p>
      <w:pPr>
        <w:numPr>
          <w:ilvl w:val="0"/>
          <w:numId w:val="0"/>
        </w:numPr>
        <w:spacing w:line="600" w:lineRule="exact"/>
        <w:ind w:right="25" w:rightChars="12" w:firstLine="640" w:firstLineChars="200"/>
        <w:jc w:val="left"/>
        <w:rPr>
          <w:rFonts w:hint="eastAsia"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val="en-US" w:eastAsia="zh-CN"/>
        </w:rPr>
        <w:t>2022年</w:t>
      </w:r>
      <w:r>
        <w:rPr>
          <w:rFonts w:hint="eastAsia" w:ascii="仿宋" w:hAnsi="仿宋" w:eastAsia="仿宋"/>
          <w:sz w:val="32"/>
          <w:szCs w:val="32"/>
        </w:rPr>
        <w:t>中央财政城镇保障性安居工程补助资</w:t>
      </w:r>
    </w:p>
    <w:p>
      <w:pPr>
        <w:numPr>
          <w:ilvl w:val="0"/>
          <w:numId w:val="0"/>
        </w:numPr>
        <w:spacing w:line="600" w:lineRule="exact"/>
        <w:ind w:right="25" w:rightChars="12" w:firstLine="1920" w:firstLineChars="600"/>
        <w:jc w:val="left"/>
        <w:rPr>
          <w:rFonts w:hint="eastAsia" w:ascii="仿宋_GB2312" w:hAnsi="仿宋" w:eastAsia="仿宋_GB2312"/>
          <w:sz w:val="32"/>
          <w:szCs w:val="32"/>
        </w:rPr>
      </w:pPr>
      <w:r>
        <w:rPr>
          <w:rFonts w:hint="eastAsia" w:ascii="仿宋" w:hAnsi="仿宋" w:eastAsia="仿宋"/>
          <w:sz w:val="32"/>
          <w:szCs w:val="32"/>
        </w:rPr>
        <w:t>金用于</w:t>
      </w:r>
      <w:r>
        <w:rPr>
          <w:rFonts w:hint="eastAsia" w:ascii="仿宋" w:hAnsi="仿宋" w:eastAsia="仿宋"/>
          <w:sz w:val="32"/>
          <w:szCs w:val="32"/>
          <w:lang w:eastAsia="zh-CN"/>
        </w:rPr>
        <w:t>老旧小区改造</w:t>
      </w:r>
      <w:r>
        <w:rPr>
          <w:rFonts w:hint="eastAsia" w:ascii="仿宋" w:hAnsi="仿宋" w:eastAsia="仿宋"/>
          <w:sz w:val="32"/>
          <w:szCs w:val="32"/>
        </w:rPr>
        <w:t xml:space="preserve">区域绩效目标表                </w:t>
      </w:r>
    </w:p>
    <w:p>
      <w:pPr>
        <w:spacing w:line="600" w:lineRule="exact"/>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spacing w:line="600" w:lineRule="exact"/>
        <w:rPr>
          <w:rFonts w:hint="eastAsia" w:ascii="仿宋" w:hAnsi="仿宋" w:eastAsia="仿宋"/>
          <w:sz w:val="32"/>
          <w:szCs w:val="32"/>
          <w:lang w:val="en-US" w:eastAsia="zh-CN"/>
        </w:rPr>
      </w:pPr>
    </w:p>
    <w:p>
      <w:pPr>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台儿庄区财政局                            </w:t>
      </w:r>
    </w:p>
    <w:p>
      <w:pPr>
        <w:spacing w:line="600" w:lineRule="exact"/>
        <w:jc w:val="center"/>
        <w:rPr>
          <w:rFonts w:hint="eastAsia" w:ascii="仿宋" w:hAnsi="仿宋" w:eastAsia="仿宋"/>
          <w:sz w:val="32"/>
          <w:szCs w:val="32"/>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p>
    <w:p/>
    <w:p/>
    <w:p/>
    <w:p/>
    <w:p/>
    <w:p/>
    <w:p/>
    <w:p/>
    <w:p/>
    <w:p/>
    <w:p/>
    <w:p/>
    <w:p/>
    <w:p/>
    <w:p/>
    <w:p/>
    <w:p/>
    <w:p/>
    <w:p/>
    <w:p/>
    <w:p/>
    <w:p/>
    <w:p/>
    <w:p>
      <w:pPr>
        <w:spacing w:before="61" w:line="224" w:lineRule="auto"/>
        <w:rPr>
          <w:rFonts w:ascii="黑体" w:hAnsi="黑体" w:eastAsia="黑体" w:cs="黑体"/>
          <w:spacing w:val="-8"/>
          <w:sz w:val="30"/>
          <w:szCs w:val="30"/>
        </w:rPr>
        <w:sectPr>
          <w:footerReference r:id="rId3" w:type="default"/>
          <w:pgSz w:w="11906" w:h="16838"/>
          <w:pgMar w:top="1440" w:right="1800" w:bottom="1440" w:left="1800" w:header="851" w:footer="992" w:gutter="0"/>
          <w:cols w:space="425" w:num="1"/>
          <w:docGrid w:type="lines" w:linePitch="312" w:charSpace="0"/>
        </w:sectPr>
      </w:pPr>
    </w:p>
    <w:p>
      <w:pPr>
        <w:spacing w:before="61" w:line="224" w:lineRule="auto"/>
        <w:rPr>
          <w:rFonts w:hint="eastAsia" w:ascii="黑体" w:hAnsi="黑体" w:eastAsia="黑体" w:cs="黑体"/>
          <w:sz w:val="30"/>
          <w:szCs w:val="30"/>
          <w:lang w:eastAsia="zh-CN"/>
        </w:rPr>
      </w:pPr>
      <w:r>
        <w:rPr>
          <w:rFonts w:ascii="黑体" w:hAnsi="黑体" w:eastAsia="黑体" w:cs="黑体"/>
          <w:spacing w:val="-8"/>
          <w:sz w:val="30"/>
          <w:szCs w:val="30"/>
        </w:rPr>
        <w:t>附件</w:t>
      </w:r>
      <w:r>
        <w:rPr>
          <w:rFonts w:hint="eastAsia" w:ascii="黑体" w:hAnsi="黑体" w:eastAsia="黑体" w:cs="黑体"/>
          <w:spacing w:val="-8"/>
          <w:sz w:val="30"/>
          <w:szCs w:val="30"/>
          <w:lang w:val="en-US" w:eastAsia="zh-CN"/>
        </w:rPr>
        <w:t>1</w:t>
      </w:r>
    </w:p>
    <w:p>
      <w:pPr>
        <w:spacing w:line="440" w:lineRule="auto"/>
        <w:rPr>
          <w:rFonts w:ascii="Arial"/>
          <w:sz w:val="21"/>
        </w:rPr>
      </w:pPr>
    </w:p>
    <w:p>
      <w:pPr>
        <w:jc w:val="center"/>
        <w:rPr>
          <w:rFonts w:hint="eastAsia" w:ascii="黑体" w:hAnsi="黑体" w:eastAsia="黑体" w:cs="黑体"/>
          <w:sz w:val="30"/>
          <w:szCs w:val="30"/>
        </w:rPr>
      </w:pPr>
      <w:r>
        <w:rPr>
          <w:rFonts w:hint="eastAsia" w:ascii="黑体" w:hAnsi="黑体" w:eastAsia="黑体" w:cs="黑体"/>
          <w:sz w:val="30"/>
          <w:szCs w:val="30"/>
        </w:rPr>
        <w:t>2022年中央财政城镇保障性安居工程补助资金</w:t>
      </w:r>
    </w:p>
    <w:p>
      <w:pPr>
        <w:jc w:val="center"/>
      </w:pPr>
      <w:r>
        <w:rPr>
          <w:rFonts w:hint="eastAsia" w:ascii="黑体" w:hAnsi="黑体" w:eastAsia="黑体" w:cs="黑体"/>
          <w:sz w:val="30"/>
          <w:szCs w:val="30"/>
        </w:rPr>
        <w:t>用于老旧小区改造资金绩效目标表</w:t>
      </w:r>
    </w:p>
    <w:p>
      <w:pPr>
        <w:spacing w:line="43" w:lineRule="exact"/>
      </w:pPr>
    </w:p>
    <w:tbl>
      <w:tblPr>
        <w:tblStyle w:val="6"/>
        <w:tblW w:w="8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1260"/>
        <w:gridCol w:w="1090"/>
        <w:gridCol w:w="478"/>
        <w:gridCol w:w="1412"/>
        <w:gridCol w:w="1290"/>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356" w:type="dxa"/>
            <w:gridSpan w:val="2"/>
            <w:tcBorders>
              <w:top w:val="single" w:color="000000" w:sz="2" w:space="0"/>
              <w:bottom w:val="single" w:color="000000" w:sz="2" w:space="0"/>
            </w:tcBorders>
            <w:vAlign w:val="top"/>
          </w:tcPr>
          <w:p>
            <w:pPr>
              <w:spacing w:before="168" w:line="220" w:lineRule="auto"/>
              <w:ind w:firstLine="764"/>
              <w:rPr>
                <w:rFonts w:ascii="宋体" w:hAnsi="宋体" w:eastAsia="宋体" w:cs="宋体"/>
                <w:sz w:val="20"/>
                <w:szCs w:val="20"/>
              </w:rPr>
            </w:pPr>
            <w:r>
              <w:rPr>
                <w:rFonts w:ascii="宋体" w:hAnsi="宋体" w:eastAsia="宋体" w:cs="宋体"/>
                <w:spacing w:val="-2"/>
                <w:sz w:val="20"/>
                <w:szCs w:val="20"/>
              </w:rPr>
              <w:t>专项名称</w:t>
            </w:r>
          </w:p>
        </w:tc>
        <w:tc>
          <w:tcPr>
            <w:tcW w:w="5665" w:type="dxa"/>
            <w:gridSpan w:val="5"/>
            <w:tcBorders>
              <w:top w:val="single" w:color="000000" w:sz="2" w:space="0"/>
              <w:bottom w:val="single" w:color="000000" w:sz="2" w:space="0"/>
            </w:tcBorders>
            <w:vAlign w:val="top"/>
          </w:tcPr>
          <w:p>
            <w:pPr>
              <w:spacing w:before="168" w:line="219" w:lineRule="auto"/>
              <w:ind w:firstLine="2023"/>
              <w:rPr>
                <w:rFonts w:ascii="宋体" w:hAnsi="宋体" w:eastAsia="宋体" w:cs="宋体"/>
                <w:sz w:val="20"/>
                <w:szCs w:val="20"/>
              </w:rPr>
            </w:pPr>
            <w:r>
              <w:rPr>
                <w:rFonts w:ascii="宋体" w:hAnsi="宋体" w:eastAsia="宋体" w:cs="宋体"/>
                <w:sz w:val="20"/>
                <w:szCs w:val="20"/>
              </w:rPr>
              <w:t>中央财政城镇保障性安居工程补助资金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356" w:type="dxa"/>
            <w:gridSpan w:val="2"/>
            <w:tcBorders>
              <w:top w:val="single" w:color="000000" w:sz="2" w:space="0"/>
              <w:bottom w:val="single" w:color="000000" w:sz="2" w:space="0"/>
            </w:tcBorders>
            <w:vAlign w:val="top"/>
          </w:tcPr>
          <w:p>
            <w:pPr>
              <w:spacing w:before="169" w:line="224" w:lineRule="auto"/>
              <w:ind w:firstLine="964"/>
              <w:rPr>
                <w:rFonts w:ascii="宋体" w:hAnsi="宋体" w:eastAsia="宋体" w:cs="宋体"/>
                <w:sz w:val="20"/>
                <w:szCs w:val="20"/>
              </w:rPr>
            </w:pPr>
            <w:r>
              <w:rPr>
                <w:rFonts w:ascii="宋体" w:hAnsi="宋体" w:eastAsia="宋体" w:cs="宋体"/>
                <w:spacing w:val="8"/>
                <w:sz w:val="20"/>
                <w:szCs w:val="20"/>
              </w:rPr>
              <w:t>地区</w:t>
            </w:r>
          </w:p>
        </w:tc>
        <w:tc>
          <w:tcPr>
            <w:tcW w:w="2980" w:type="dxa"/>
            <w:gridSpan w:val="3"/>
            <w:tcBorders>
              <w:top w:val="single" w:color="000000" w:sz="2" w:space="0"/>
              <w:bottom w:val="single" w:color="000000" w:sz="2" w:space="0"/>
            </w:tcBorders>
            <w:vAlign w:val="top"/>
          </w:tcPr>
          <w:p>
            <w:pPr>
              <w:rPr>
                <w:rFonts w:ascii="Arial"/>
                <w:sz w:val="21"/>
              </w:rPr>
            </w:pPr>
          </w:p>
        </w:tc>
        <w:tc>
          <w:tcPr>
            <w:tcW w:w="1290" w:type="dxa"/>
            <w:tcBorders>
              <w:top w:val="single" w:color="000000" w:sz="2" w:space="0"/>
              <w:bottom w:val="single" w:color="000000" w:sz="2" w:space="0"/>
            </w:tcBorders>
            <w:vAlign w:val="top"/>
          </w:tcPr>
          <w:p>
            <w:pPr>
              <w:spacing w:before="163" w:line="220" w:lineRule="auto"/>
              <w:ind w:firstLine="97"/>
              <w:rPr>
                <w:rFonts w:ascii="宋体" w:hAnsi="宋体" w:eastAsia="宋体" w:cs="宋体"/>
                <w:sz w:val="20"/>
                <w:szCs w:val="20"/>
              </w:rPr>
            </w:pPr>
            <w:r>
              <w:rPr>
                <w:rFonts w:ascii="宋体" w:hAnsi="宋体" w:eastAsia="宋体" w:cs="宋体"/>
                <w:spacing w:val="2"/>
                <w:sz w:val="20"/>
                <w:szCs w:val="20"/>
              </w:rPr>
              <w:t>补助实施期</w:t>
            </w:r>
          </w:p>
        </w:tc>
        <w:tc>
          <w:tcPr>
            <w:tcW w:w="1395" w:type="dxa"/>
            <w:tcBorders>
              <w:top w:val="single" w:color="000000" w:sz="2" w:space="0"/>
              <w:bottom w:val="single" w:color="000000" w:sz="2" w:space="0"/>
            </w:tcBorders>
            <w:vAlign w:val="top"/>
          </w:tcPr>
          <w:p>
            <w:pPr>
              <w:spacing w:before="163" w:line="219" w:lineRule="auto"/>
              <w:ind w:firstLine="568"/>
              <w:rPr>
                <w:rFonts w:ascii="宋体" w:hAnsi="宋体" w:eastAsia="宋体" w:cs="宋体"/>
                <w:sz w:val="20"/>
                <w:szCs w:val="20"/>
              </w:rPr>
            </w:pPr>
            <w:r>
              <w:rPr>
                <w:rFonts w:ascii="宋体" w:hAnsi="宋体" w:eastAsia="宋体" w:cs="宋体"/>
                <w:spacing w:val="-2"/>
                <w:sz w:val="20"/>
                <w:szCs w:val="20"/>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before="65" w:line="237" w:lineRule="auto"/>
              <w:ind w:left="204" w:right="100" w:hanging="100"/>
              <w:rPr>
                <w:rFonts w:ascii="宋体" w:hAnsi="宋体" w:eastAsia="宋体" w:cs="宋体"/>
                <w:sz w:val="20"/>
                <w:szCs w:val="20"/>
              </w:rPr>
            </w:pPr>
            <w:r>
              <w:rPr>
                <w:rFonts w:ascii="宋体" w:hAnsi="宋体" w:eastAsia="宋体" w:cs="宋体"/>
                <w:spacing w:val="2"/>
                <w:sz w:val="20"/>
                <w:szCs w:val="20"/>
              </w:rPr>
              <w:t>资金情况</w:t>
            </w:r>
            <w:r>
              <w:rPr>
                <w:rFonts w:ascii="宋体" w:hAnsi="宋体" w:eastAsia="宋体" w:cs="宋体"/>
                <w:sz w:val="20"/>
                <w:szCs w:val="20"/>
              </w:rPr>
              <w:t xml:space="preserve"> </w:t>
            </w:r>
            <w:r>
              <w:rPr>
                <w:rFonts w:ascii="宋体" w:hAnsi="宋体" w:eastAsia="宋体" w:cs="宋体"/>
                <w:spacing w:val="10"/>
                <w:sz w:val="20"/>
                <w:szCs w:val="20"/>
              </w:rPr>
              <w:t>(万元)</w:t>
            </w:r>
          </w:p>
        </w:tc>
        <w:tc>
          <w:tcPr>
            <w:tcW w:w="5530" w:type="dxa"/>
            <w:gridSpan w:val="5"/>
            <w:tcBorders>
              <w:top w:val="single" w:color="000000" w:sz="2" w:space="0"/>
              <w:bottom w:val="single" w:color="000000" w:sz="2" w:space="0"/>
            </w:tcBorders>
            <w:vAlign w:val="top"/>
          </w:tcPr>
          <w:p>
            <w:pPr>
              <w:spacing w:before="163" w:line="219" w:lineRule="auto"/>
              <w:ind w:firstLine="3061"/>
              <w:rPr>
                <w:rFonts w:ascii="宋体" w:hAnsi="宋体" w:eastAsia="宋体" w:cs="宋体"/>
                <w:sz w:val="20"/>
                <w:szCs w:val="20"/>
              </w:rPr>
            </w:pPr>
            <w:r>
              <w:rPr>
                <w:rFonts w:ascii="宋体" w:hAnsi="宋体" w:eastAsia="宋体" w:cs="宋体"/>
                <w:spacing w:val="8"/>
                <w:sz w:val="20"/>
                <w:szCs w:val="20"/>
              </w:rPr>
              <w:t>年度金额:</w:t>
            </w:r>
          </w:p>
        </w:tc>
        <w:tc>
          <w:tcPr>
            <w:tcW w:w="139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96" w:type="dxa"/>
            <w:vMerge w:val="continue"/>
            <w:tcBorders>
              <w:top w:val="nil"/>
              <w:bottom w:val="nil"/>
            </w:tcBorders>
            <w:vAlign w:val="top"/>
          </w:tcPr>
          <w:p>
            <w:pPr>
              <w:rPr>
                <w:rFonts w:ascii="Arial"/>
                <w:sz w:val="21"/>
              </w:rPr>
            </w:pPr>
          </w:p>
        </w:tc>
        <w:tc>
          <w:tcPr>
            <w:tcW w:w="2828" w:type="dxa"/>
            <w:gridSpan w:val="3"/>
            <w:tcBorders>
              <w:top w:val="single" w:color="000000" w:sz="2" w:space="0"/>
              <w:bottom w:val="single" w:color="000000" w:sz="2" w:space="0"/>
            </w:tcBorders>
            <w:vAlign w:val="top"/>
          </w:tcPr>
          <w:p>
            <w:pPr>
              <w:spacing w:before="153" w:line="220" w:lineRule="auto"/>
              <w:ind w:firstLine="1170"/>
              <w:rPr>
                <w:rFonts w:ascii="宋体" w:hAnsi="宋体" w:eastAsia="宋体" w:cs="宋体"/>
                <w:sz w:val="20"/>
                <w:szCs w:val="20"/>
              </w:rPr>
            </w:pPr>
            <w:r>
              <w:rPr>
                <w:rFonts w:ascii="宋体" w:hAnsi="宋体" w:eastAsia="宋体" w:cs="宋体"/>
                <w:spacing w:val="1"/>
                <w:sz w:val="20"/>
                <w:szCs w:val="20"/>
              </w:rPr>
              <w:t>其中:中央补助</w:t>
            </w:r>
          </w:p>
        </w:tc>
        <w:tc>
          <w:tcPr>
            <w:tcW w:w="4097" w:type="dxa"/>
            <w:gridSpan w:val="3"/>
            <w:tcBorders>
              <w:top w:val="single" w:color="000000" w:sz="2" w:space="0"/>
              <w:bottom w:val="single" w:color="000000" w:sz="2" w:space="0"/>
            </w:tcBorders>
            <w:vAlign w:val="top"/>
          </w:tcPr>
          <w:p>
            <w:pPr>
              <w:spacing w:before="151" w:line="219" w:lineRule="auto"/>
              <w:ind w:firstLine="2106"/>
              <w:rPr>
                <w:rFonts w:hint="default" w:ascii="宋体" w:hAnsi="宋体" w:eastAsia="宋体" w:cs="宋体"/>
                <w:sz w:val="20"/>
                <w:szCs w:val="20"/>
                <w:lang w:val="en-US" w:eastAsia="zh-CN"/>
              </w:rPr>
            </w:pPr>
            <w:r>
              <w:rPr>
                <w:rFonts w:hint="eastAsia" w:ascii="宋体" w:hAnsi="宋体" w:eastAsia="宋体" w:cs="宋体"/>
                <w:spacing w:val="4"/>
                <w:sz w:val="20"/>
                <w:szCs w:val="20"/>
                <w:lang w:val="en-US" w:eastAsia="zh-CN"/>
              </w:rPr>
              <w:t>101万元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096" w:type="dxa"/>
            <w:vMerge w:val="continue"/>
            <w:tcBorders>
              <w:top w:val="nil"/>
              <w:bottom w:val="single" w:color="000000" w:sz="2" w:space="0"/>
            </w:tcBorders>
            <w:vAlign w:val="top"/>
          </w:tcPr>
          <w:p>
            <w:pPr>
              <w:rPr>
                <w:rFonts w:ascii="Arial"/>
                <w:sz w:val="21"/>
              </w:rPr>
            </w:pPr>
          </w:p>
        </w:tc>
        <w:tc>
          <w:tcPr>
            <w:tcW w:w="2828" w:type="dxa"/>
            <w:gridSpan w:val="3"/>
            <w:tcBorders>
              <w:top w:val="single" w:color="000000" w:sz="2" w:space="0"/>
              <w:bottom w:val="single" w:color="000000" w:sz="2" w:space="0"/>
            </w:tcBorders>
            <w:vAlign w:val="top"/>
          </w:tcPr>
          <w:p>
            <w:pPr>
              <w:spacing w:before="164" w:line="221" w:lineRule="auto"/>
              <w:ind w:firstLine="1420"/>
              <w:rPr>
                <w:rFonts w:ascii="宋体" w:hAnsi="宋体" w:eastAsia="宋体" w:cs="宋体"/>
                <w:sz w:val="20"/>
                <w:szCs w:val="20"/>
              </w:rPr>
            </w:pPr>
            <w:r>
              <w:rPr>
                <w:rFonts w:ascii="宋体" w:hAnsi="宋体" w:eastAsia="宋体" w:cs="宋体"/>
                <w:spacing w:val="-2"/>
                <w:sz w:val="20"/>
                <w:szCs w:val="20"/>
              </w:rPr>
              <w:t>地方资金</w:t>
            </w:r>
          </w:p>
        </w:tc>
        <w:tc>
          <w:tcPr>
            <w:tcW w:w="4097"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1096" w:type="dxa"/>
            <w:tcBorders>
              <w:top w:val="single" w:color="000000" w:sz="2" w:space="0"/>
              <w:bottom w:val="single" w:color="000000" w:sz="2" w:space="0"/>
            </w:tcBorders>
            <w:vAlign w:val="top"/>
          </w:tcPr>
          <w:p>
            <w:pPr>
              <w:spacing w:before="65" w:line="232" w:lineRule="auto"/>
              <w:jc w:val="center"/>
              <w:rPr>
                <w:rFonts w:ascii="宋体" w:hAnsi="宋体" w:eastAsia="宋体" w:cs="宋体"/>
                <w:sz w:val="20"/>
                <w:szCs w:val="20"/>
              </w:rPr>
            </w:pPr>
            <w:r>
              <w:rPr>
                <w:rFonts w:ascii="宋体" w:hAnsi="宋体" w:eastAsia="宋体" w:cs="宋体"/>
                <w:spacing w:val="5"/>
                <w:sz w:val="20"/>
                <w:szCs w:val="20"/>
              </w:rPr>
              <w:t>年度</w:t>
            </w:r>
          </w:p>
          <w:p>
            <w:pPr>
              <w:spacing w:line="220" w:lineRule="auto"/>
              <w:ind w:firstLine="304"/>
              <w:rPr>
                <w:rFonts w:ascii="宋体" w:hAnsi="宋体" w:eastAsia="宋体" w:cs="宋体"/>
                <w:sz w:val="20"/>
                <w:szCs w:val="20"/>
              </w:rPr>
            </w:pPr>
            <w:r>
              <w:rPr>
                <w:rFonts w:ascii="宋体" w:hAnsi="宋体" w:eastAsia="宋体" w:cs="宋体"/>
                <w:spacing w:val="4"/>
                <w:sz w:val="20"/>
                <w:szCs w:val="20"/>
              </w:rPr>
              <w:t>总体</w:t>
            </w:r>
          </w:p>
          <w:p>
            <w:pPr>
              <w:spacing w:line="220" w:lineRule="auto"/>
              <w:ind w:firstLine="304"/>
              <w:rPr>
                <w:rFonts w:ascii="宋体" w:hAnsi="宋体" w:eastAsia="宋体" w:cs="宋体"/>
                <w:sz w:val="20"/>
                <w:szCs w:val="20"/>
              </w:rPr>
            </w:pPr>
            <w:r>
              <w:rPr>
                <w:rFonts w:ascii="宋体" w:hAnsi="宋体" w:eastAsia="宋体" w:cs="宋体"/>
                <w:spacing w:val="-19"/>
                <w:w w:val="98"/>
                <w:sz w:val="20"/>
                <w:szCs w:val="20"/>
              </w:rPr>
              <w:t>目</w:t>
            </w:r>
            <w:r>
              <w:rPr>
                <w:rFonts w:ascii="宋体" w:hAnsi="宋体" w:eastAsia="宋体" w:cs="宋体"/>
                <w:spacing w:val="-38"/>
                <w:sz w:val="20"/>
                <w:szCs w:val="20"/>
              </w:rPr>
              <w:t xml:space="preserve"> </w:t>
            </w:r>
            <w:r>
              <w:rPr>
                <w:rFonts w:ascii="宋体" w:hAnsi="宋体" w:eastAsia="宋体" w:cs="宋体"/>
                <w:spacing w:val="-19"/>
                <w:w w:val="98"/>
                <w:sz w:val="20"/>
                <w:szCs w:val="20"/>
              </w:rPr>
              <w:t>标</w:t>
            </w:r>
          </w:p>
        </w:tc>
        <w:tc>
          <w:tcPr>
            <w:tcW w:w="6925" w:type="dxa"/>
            <w:gridSpan w:val="6"/>
            <w:tcBorders>
              <w:top w:val="single" w:color="000000" w:sz="2" w:space="0"/>
              <w:bottom w:val="single" w:color="000000" w:sz="2" w:space="0"/>
            </w:tcBorders>
            <w:vAlign w:val="top"/>
          </w:tcPr>
          <w:p>
            <w:pPr>
              <w:spacing w:before="65" w:line="219" w:lineRule="auto"/>
              <w:rPr>
                <w:rFonts w:ascii="宋体" w:hAnsi="宋体" w:eastAsia="宋体" w:cs="宋体"/>
                <w:spacing w:val="1"/>
                <w:sz w:val="20"/>
                <w:szCs w:val="20"/>
              </w:rPr>
            </w:pPr>
          </w:p>
          <w:p>
            <w:pPr>
              <w:spacing w:before="65" w:line="219" w:lineRule="auto"/>
              <w:rPr>
                <w:rFonts w:ascii="宋体" w:hAnsi="宋体" w:eastAsia="宋体" w:cs="宋体"/>
                <w:sz w:val="20"/>
                <w:szCs w:val="20"/>
              </w:rPr>
            </w:pPr>
            <w:r>
              <w:rPr>
                <w:rFonts w:ascii="宋体" w:hAnsi="宋体" w:eastAsia="宋体" w:cs="宋体"/>
                <w:spacing w:val="1"/>
                <w:sz w:val="20"/>
                <w:szCs w:val="20"/>
              </w:rPr>
              <w:t>完成2022年度城镇老旧小区改造任务。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096" w:type="dxa"/>
            <w:vMerge w:val="restart"/>
            <w:tcBorders>
              <w:top w:val="single" w:color="000000" w:sz="2" w:space="0"/>
              <w:bottom w:val="nil"/>
            </w:tcBorders>
            <w:textDirection w:val="tbRlV"/>
            <w:vAlign w:val="top"/>
          </w:tcPr>
          <w:p>
            <w:pPr>
              <w:spacing w:line="331" w:lineRule="auto"/>
              <w:rPr>
                <w:rFonts w:ascii="Arial"/>
                <w:sz w:val="21"/>
              </w:rPr>
            </w:pPr>
          </w:p>
          <w:p>
            <w:pPr>
              <w:spacing w:before="67" w:line="216" w:lineRule="auto"/>
              <w:ind w:firstLine="2796"/>
              <w:rPr>
                <w:rFonts w:ascii="宋体" w:hAnsi="宋体" w:eastAsia="宋体" w:cs="宋体"/>
                <w:sz w:val="20"/>
                <w:szCs w:val="20"/>
              </w:rPr>
            </w:pPr>
            <w:r>
              <w:rPr>
                <w:rFonts w:ascii="宋体" w:hAnsi="宋体" w:eastAsia="宋体" w:cs="宋体"/>
                <w:sz w:val="20"/>
                <w:szCs w:val="20"/>
              </w:rPr>
              <w:t>绩效指标</w:t>
            </w:r>
          </w:p>
        </w:tc>
        <w:tc>
          <w:tcPr>
            <w:tcW w:w="1260" w:type="dxa"/>
            <w:tcBorders>
              <w:top w:val="single" w:color="000000" w:sz="2" w:space="0"/>
              <w:bottom w:val="single" w:color="000000" w:sz="2" w:space="0"/>
            </w:tcBorders>
            <w:vAlign w:val="top"/>
          </w:tcPr>
          <w:p>
            <w:pPr>
              <w:spacing w:before="194" w:line="220" w:lineRule="auto"/>
              <w:ind w:firstLine="250"/>
              <w:rPr>
                <w:rFonts w:ascii="宋体" w:hAnsi="宋体" w:eastAsia="宋体" w:cs="宋体"/>
                <w:sz w:val="20"/>
                <w:szCs w:val="20"/>
              </w:rPr>
            </w:pPr>
            <w:r>
              <w:rPr>
                <w:rFonts w:ascii="宋体" w:hAnsi="宋体" w:eastAsia="宋体" w:cs="宋体"/>
                <w:spacing w:val="-3"/>
                <w:sz w:val="20"/>
                <w:szCs w:val="20"/>
              </w:rPr>
              <w:t>一级指标</w:t>
            </w:r>
          </w:p>
        </w:tc>
        <w:tc>
          <w:tcPr>
            <w:tcW w:w="1090" w:type="dxa"/>
            <w:tcBorders>
              <w:top w:val="single" w:color="000000" w:sz="2" w:space="0"/>
              <w:bottom w:val="single" w:color="000000" w:sz="2" w:space="0"/>
            </w:tcBorders>
            <w:vAlign w:val="top"/>
          </w:tcPr>
          <w:p>
            <w:pPr>
              <w:spacing w:before="194" w:line="220" w:lineRule="auto"/>
              <w:ind w:firstLine="253"/>
              <w:rPr>
                <w:rFonts w:ascii="宋体" w:hAnsi="宋体" w:eastAsia="宋体" w:cs="宋体"/>
                <w:sz w:val="20"/>
                <w:szCs w:val="20"/>
              </w:rPr>
            </w:pPr>
            <w:r>
              <w:rPr>
                <w:rFonts w:ascii="宋体" w:hAnsi="宋体" w:eastAsia="宋体" w:cs="宋体"/>
                <w:spacing w:val="-3"/>
                <w:sz w:val="20"/>
                <w:szCs w:val="20"/>
              </w:rPr>
              <w:t>二级指标</w:t>
            </w:r>
          </w:p>
        </w:tc>
        <w:tc>
          <w:tcPr>
            <w:tcW w:w="1890" w:type="dxa"/>
            <w:gridSpan w:val="2"/>
            <w:tcBorders>
              <w:top w:val="single" w:color="000000" w:sz="2" w:space="0"/>
              <w:bottom w:val="single" w:color="000000" w:sz="2" w:space="0"/>
            </w:tcBorders>
            <w:vAlign w:val="top"/>
          </w:tcPr>
          <w:p>
            <w:pPr>
              <w:spacing w:before="194" w:line="220" w:lineRule="auto"/>
              <w:ind w:firstLine="705"/>
              <w:rPr>
                <w:rFonts w:ascii="宋体" w:hAnsi="宋体" w:eastAsia="宋体" w:cs="宋体"/>
                <w:sz w:val="20"/>
                <w:szCs w:val="20"/>
              </w:rPr>
            </w:pPr>
            <w:r>
              <w:rPr>
                <w:rFonts w:ascii="宋体" w:hAnsi="宋体" w:eastAsia="宋体" w:cs="宋体"/>
                <w:spacing w:val="-2"/>
                <w:sz w:val="20"/>
                <w:szCs w:val="20"/>
              </w:rPr>
              <w:t>三级指标</w:t>
            </w:r>
          </w:p>
        </w:tc>
        <w:tc>
          <w:tcPr>
            <w:tcW w:w="2685" w:type="dxa"/>
            <w:gridSpan w:val="2"/>
            <w:tcBorders>
              <w:top w:val="single" w:color="000000" w:sz="2" w:space="0"/>
              <w:bottom w:val="single" w:color="000000" w:sz="2" w:space="0"/>
            </w:tcBorders>
            <w:vAlign w:val="top"/>
          </w:tcPr>
          <w:p>
            <w:pPr>
              <w:spacing w:before="194" w:line="219" w:lineRule="auto"/>
              <w:ind w:firstLine="1666"/>
              <w:rPr>
                <w:rFonts w:ascii="宋体" w:hAnsi="宋体" w:eastAsia="宋体" w:cs="宋体"/>
                <w:sz w:val="20"/>
                <w:szCs w:val="20"/>
              </w:rPr>
            </w:pPr>
            <w:r>
              <w:rPr>
                <w:rFonts w:ascii="宋体" w:hAnsi="宋体" w:eastAsia="宋体" w:cs="宋体"/>
                <w:spacing w:val="-3"/>
                <w:sz w:val="20"/>
                <w:szCs w:val="2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restart"/>
            <w:tcBorders>
              <w:top w:val="single" w:color="000000" w:sz="2" w:space="0"/>
              <w:bottom w:val="nil"/>
            </w:tcBorders>
            <w:textDirection w:val="tbRlV"/>
            <w:vAlign w:val="top"/>
          </w:tcPr>
          <w:p>
            <w:pPr>
              <w:spacing w:line="242" w:lineRule="auto"/>
              <w:rPr>
                <w:rFonts w:ascii="Arial"/>
                <w:sz w:val="21"/>
              </w:rPr>
            </w:pPr>
          </w:p>
          <w:p>
            <w:pPr>
              <w:spacing w:line="243" w:lineRule="auto"/>
              <w:rPr>
                <w:rFonts w:ascii="Arial"/>
                <w:sz w:val="21"/>
              </w:rPr>
            </w:pPr>
          </w:p>
          <w:p>
            <w:pPr>
              <w:spacing w:before="67" w:line="215" w:lineRule="auto"/>
              <w:ind w:firstLine="1306"/>
              <w:rPr>
                <w:rFonts w:ascii="宋体" w:hAnsi="宋体" w:eastAsia="宋体" w:cs="宋体"/>
                <w:sz w:val="20"/>
                <w:szCs w:val="20"/>
              </w:rPr>
            </w:pPr>
            <w:r>
              <w:rPr>
                <w:rFonts w:ascii="宋体" w:hAnsi="宋体" w:eastAsia="宋体" w:cs="宋体"/>
                <w:sz w:val="20"/>
                <w:szCs w:val="20"/>
              </w:rPr>
              <w:t>产出指标</w:t>
            </w:r>
          </w:p>
        </w:tc>
        <w:tc>
          <w:tcPr>
            <w:tcW w:w="1090" w:type="dxa"/>
            <w:vMerge w:val="restart"/>
            <w:tcBorders>
              <w:top w:val="single" w:color="000000" w:sz="2" w:space="0"/>
              <w:bottom w:val="nil"/>
            </w:tcBorders>
            <w:vAlign w:val="top"/>
          </w:tcPr>
          <w:p>
            <w:pPr>
              <w:spacing w:line="294" w:lineRule="auto"/>
              <w:jc w:val="center"/>
              <w:rPr>
                <w:rFonts w:ascii="Arial"/>
                <w:sz w:val="21"/>
              </w:rPr>
            </w:pPr>
          </w:p>
          <w:p>
            <w:pPr>
              <w:spacing w:line="295" w:lineRule="auto"/>
              <w:jc w:val="center"/>
              <w:rPr>
                <w:rFonts w:ascii="Arial"/>
                <w:sz w:val="21"/>
              </w:rPr>
            </w:pPr>
          </w:p>
          <w:p>
            <w:pPr>
              <w:spacing w:line="295" w:lineRule="auto"/>
              <w:jc w:val="center"/>
              <w:rPr>
                <w:rFonts w:ascii="Arial"/>
                <w:sz w:val="21"/>
              </w:rPr>
            </w:pPr>
          </w:p>
          <w:p>
            <w:pPr>
              <w:spacing w:before="65" w:line="219" w:lineRule="auto"/>
              <w:jc w:val="center"/>
              <w:rPr>
                <w:rFonts w:ascii="宋体" w:hAnsi="宋体" w:eastAsia="宋体" w:cs="宋体"/>
                <w:sz w:val="20"/>
                <w:szCs w:val="20"/>
              </w:rPr>
            </w:pPr>
            <w:r>
              <w:rPr>
                <w:rFonts w:ascii="宋体" w:hAnsi="宋体" w:eastAsia="宋体" w:cs="宋体"/>
                <w:spacing w:val="-2"/>
                <w:sz w:val="20"/>
                <w:szCs w:val="20"/>
              </w:rPr>
              <w:t>数量指标</w:t>
            </w:r>
          </w:p>
        </w:tc>
        <w:tc>
          <w:tcPr>
            <w:tcW w:w="1890" w:type="dxa"/>
            <w:gridSpan w:val="2"/>
            <w:tcBorders>
              <w:top w:val="single" w:color="000000" w:sz="2" w:space="0"/>
              <w:bottom w:val="single" w:color="000000" w:sz="2" w:space="0"/>
            </w:tcBorders>
            <w:vAlign w:val="top"/>
          </w:tcPr>
          <w:p>
            <w:pPr>
              <w:spacing w:before="174" w:line="219" w:lineRule="auto"/>
              <w:ind w:firstLine="34"/>
              <w:rPr>
                <w:rFonts w:ascii="宋体" w:hAnsi="宋体" w:eastAsia="宋体" w:cs="宋体"/>
                <w:sz w:val="20"/>
                <w:szCs w:val="20"/>
              </w:rPr>
            </w:pPr>
            <w:r>
              <w:rPr>
                <w:rFonts w:ascii="宋体" w:hAnsi="宋体" w:eastAsia="宋体" w:cs="宋体"/>
                <w:spacing w:val="-3"/>
                <w:sz w:val="20"/>
                <w:szCs w:val="20"/>
              </w:rPr>
              <w:t>改造面积</w:t>
            </w:r>
          </w:p>
        </w:tc>
        <w:tc>
          <w:tcPr>
            <w:tcW w:w="2685" w:type="dxa"/>
            <w:gridSpan w:val="2"/>
            <w:tcBorders>
              <w:top w:val="single" w:color="000000" w:sz="2" w:space="0"/>
              <w:bottom w:val="single" w:color="000000" w:sz="2" w:space="0"/>
            </w:tcBorders>
            <w:vAlign w:val="top"/>
          </w:tcPr>
          <w:p>
            <w:pPr>
              <w:spacing w:before="174" w:line="219" w:lineRule="auto"/>
              <w:jc w:val="center"/>
              <w:rPr>
                <w:rFonts w:ascii="宋体" w:hAnsi="宋体" w:eastAsia="宋体" w:cs="宋体"/>
                <w:sz w:val="20"/>
                <w:szCs w:val="20"/>
              </w:rPr>
            </w:pPr>
            <w:r>
              <w:rPr>
                <w:rFonts w:ascii="宋体" w:hAnsi="宋体" w:eastAsia="宋体" w:cs="宋体"/>
                <w:spacing w:val="1"/>
                <w:sz w:val="20"/>
                <w:szCs w:val="20"/>
              </w:rPr>
              <w:t>≥年度任务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continue"/>
            <w:tcBorders>
              <w:top w:val="nil"/>
              <w:bottom w:val="nil"/>
            </w:tcBorders>
            <w:textDirection w:val="tbRlV"/>
            <w:vAlign w:val="top"/>
          </w:tcPr>
          <w:p>
            <w:pPr>
              <w:rPr>
                <w:rFonts w:ascii="Arial"/>
                <w:sz w:val="21"/>
              </w:rPr>
            </w:pPr>
          </w:p>
        </w:tc>
        <w:tc>
          <w:tcPr>
            <w:tcW w:w="1090" w:type="dxa"/>
            <w:vMerge w:val="continue"/>
            <w:tcBorders>
              <w:top w:val="nil"/>
              <w:bottom w:val="nil"/>
            </w:tcBorders>
            <w:vAlign w:val="top"/>
          </w:tcPr>
          <w:p>
            <w:pPr>
              <w:jc w:val="center"/>
              <w:rPr>
                <w:rFonts w:ascii="Arial"/>
                <w:sz w:val="21"/>
              </w:rPr>
            </w:pPr>
          </w:p>
        </w:tc>
        <w:tc>
          <w:tcPr>
            <w:tcW w:w="1890" w:type="dxa"/>
            <w:gridSpan w:val="2"/>
            <w:tcBorders>
              <w:top w:val="single" w:color="000000" w:sz="2" w:space="0"/>
              <w:bottom w:val="single" w:color="000000" w:sz="2" w:space="0"/>
            </w:tcBorders>
            <w:vAlign w:val="top"/>
          </w:tcPr>
          <w:p>
            <w:pPr>
              <w:spacing w:before="164" w:line="219" w:lineRule="auto"/>
              <w:ind w:firstLine="34"/>
              <w:rPr>
                <w:rFonts w:ascii="宋体" w:hAnsi="宋体" w:eastAsia="宋体" w:cs="宋体"/>
                <w:sz w:val="20"/>
                <w:szCs w:val="20"/>
              </w:rPr>
            </w:pPr>
            <w:r>
              <w:rPr>
                <w:rFonts w:ascii="宋体" w:hAnsi="宋体" w:eastAsia="宋体" w:cs="宋体"/>
                <w:spacing w:val="-3"/>
                <w:sz w:val="20"/>
                <w:szCs w:val="20"/>
              </w:rPr>
              <w:t>改造户数</w:t>
            </w:r>
          </w:p>
        </w:tc>
        <w:tc>
          <w:tcPr>
            <w:tcW w:w="2685" w:type="dxa"/>
            <w:gridSpan w:val="2"/>
            <w:tcBorders>
              <w:top w:val="single" w:color="000000" w:sz="2" w:space="0"/>
              <w:bottom w:val="single" w:color="000000" w:sz="2" w:space="0"/>
            </w:tcBorders>
            <w:vAlign w:val="top"/>
          </w:tcPr>
          <w:p>
            <w:pPr>
              <w:spacing w:before="164" w:line="219" w:lineRule="auto"/>
              <w:jc w:val="center"/>
              <w:rPr>
                <w:rFonts w:ascii="宋体" w:hAnsi="宋体" w:eastAsia="宋体" w:cs="宋体"/>
                <w:sz w:val="20"/>
                <w:szCs w:val="20"/>
              </w:rPr>
            </w:pPr>
            <w:r>
              <w:rPr>
                <w:rFonts w:ascii="宋体" w:hAnsi="宋体" w:eastAsia="宋体" w:cs="宋体"/>
                <w:spacing w:val="-1"/>
                <w:sz w:val="20"/>
                <w:szCs w:val="20"/>
              </w:rPr>
              <w:t>≥年度任务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continue"/>
            <w:tcBorders>
              <w:top w:val="nil"/>
              <w:bottom w:val="nil"/>
            </w:tcBorders>
            <w:textDirection w:val="tbRlV"/>
            <w:vAlign w:val="top"/>
          </w:tcPr>
          <w:p>
            <w:pPr>
              <w:rPr>
                <w:rFonts w:ascii="Arial"/>
                <w:sz w:val="21"/>
              </w:rPr>
            </w:pPr>
          </w:p>
        </w:tc>
        <w:tc>
          <w:tcPr>
            <w:tcW w:w="1090" w:type="dxa"/>
            <w:vMerge w:val="continue"/>
            <w:tcBorders>
              <w:top w:val="nil"/>
              <w:bottom w:val="nil"/>
            </w:tcBorders>
            <w:vAlign w:val="top"/>
          </w:tcPr>
          <w:p>
            <w:pPr>
              <w:jc w:val="center"/>
              <w:rPr>
                <w:rFonts w:ascii="Arial"/>
                <w:sz w:val="21"/>
              </w:rPr>
            </w:pPr>
          </w:p>
        </w:tc>
        <w:tc>
          <w:tcPr>
            <w:tcW w:w="1890" w:type="dxa"/>
            <w:gridSpan w:val="2"/>
            <w:tcBorders>
              <w:top w:val="single" w:color="000000" w:sz="2" w:space="0"/>
              <w:bottom w:val="single" w:color="000000" w:sz="2" w:space="0"/>
            </w:tcBorders>
            <w:vAlign w:val="top"/>
          </w:tcPr>
          <w:p>
            <w:pPr>
              <w:spacing w:before="164" w:line="219" w:lineRule="auto"/>
              <w:ind w:firstLine="34"/>
              <w:rPr>
                <w:rFonts w:ascii="宋体" w:hAnsi="宋体" w:eastAsia="宋体" w:cs="宋体"/>
                <w:sz w:val="20"/>
                <w:szCs w:val="20"/>
              </w:rPr>
            </w:pPr>
            <w:r>
              <w:rPr>
                <w:rFonts w:ascii="宋体" w:hAnsi="宋体" w:eastAsia="宋体" w:cs="宋体"/>
                <w:spacing w:val="1"/>
                <w:sz w:val="20"/>
                <w:szCs w:val="20"/>
              </w:rPr>
              <w:t>改造楼栋数</w:t>
            </w:r>
          </w:p>
        </w:tc>
        <w:tc>
          <w:tcPr>
            <w:tcW w:w="2685" w:type="dxa"/>
            <w:gridSpan w:val="2"/>
            <w:tcBorders>
              <w:top w:val="single" w:color="000000" w:sz="2" w:space="0"/>
              <w:bottom w:val="single" w:color="000000" w:sz="2" w:space="0"/>
            </w:tcBorders>
            <w:vAlign w:val="top"/>
          </w:tcPr>
          <w:p>
            <w:pPr>
              <w:spacing w:before="164" w:line="219" w:lineRule="auto"/>
              <w:jc w:val="center"/>
              <w:rPr>
                <w:rFonts w:ascii="宋体" w:hAnsi="宋体" w:eastAsia="宋体" w:cs="宋体"/>
                <w:sz w:val="20"/>
                <w:szCs w:val="20"/>
              </w:rPr>
            </w:pPr>
            <w:r>
              <w:rPr>
                <w:rFonts w:ascii="宋体" w:hAnsi="宋体" w:eastAsia="宋体" w:cs="宋体"/>
                <w:spacing w:val="1"/>
                <w:sz w:val="20"/>
                <w:szCs w:val="20"/>
              </w:rPr>
              <w:t>≥年度任务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continue"/>
            <w:tcBorders>
              <w:top w:val="nil"/>
              <w:bottom w:val="nil"/>
            </w:tcBorders>
            <w:textDirection w:val="tbRlV"/>
            <w:vAlign w:val="top"/>
          </w:tcPr>
          <w:p>
            <w:pPr>
              <w:rPr>
                <w:rFonts w:ascii="Arial"/>
                <w:sz w:val="21"/>
              </w:rPr>
            </w:pPr>
          </w:p>
        </w:tc>
        <w:tc>
          <w:tcPr>
            <w:tcW w:w="1090" w:type="dxa"/>
            <w:vMerge w:val="continue"/>
            <w:tcBorders>
              <w:top w:val="nil"/>
              <w:bottom w:val="single" w:color="000000" w:sz="2" w:space="0"/>
            </w:tcBorders>
            <w:vAlign w:val="top"/>
          </w:tcPr>
          <w:p>
            <w:pPr>
              <w:jc w:val="center"/>
              <w:rPr>
                <w:rFonts w:ascii="Arial"/>
                <w:sz w:val="21"/>
              </w:rPr>
            </w:pPr>
          </w:p>
        </w:tc>
        <w:tc>
          <w:tcPr>
            <w:tcW w:w="1890" w:type="dxa"/>
            <w:gridSpan w:val="2"/>
            <w:tcBorders>
              <w:top w:val="single" w:color="000000" w:sz="2" w:space="0"/>
              <w:bottom w:val="single" w:color="000000" w:sz="2" w:space="0"/>
            </w:tcBorders>
            <w:vAlign w:val="top"/>
          </w:tcPr>
          <w:p>
            <w:pPr>
              <w:spacing w:before="165" w:line="219" w:lineRule="auto"/>
              <w:ind w:firstLine="34"/>
              <w:rPr>
                <w:rFonts w:ascii="宋体" w:hAnsi="宋体" w:eastAsia="宋体" w:cs="宋体"/>
                <w:sz w:val="20"/>
                <w:szCs w:val="20"/>
              </w:rPr>
            </w:pPr>
            <w:r>
              <w:rPr>
                <w:rFonts w:ascii="宋体" w:hAnsi="宋体" w:eastAsia="宋体" w:cs="宋体"/>
                <w:spacing w:val="1"/>
                <w:sz w:val="20"/>
                <w:szCs w:val="20"/>
              </w:rPr>
              <w:t>改造小区数</w:t>
            </w:r>
          </w:p>
        </w:tc>
        <w:tc>
          <w:tcPr>
            <w:tcW w:w="2685" w:type="dxa"/>
            <w:gridSpan w:val="2"/>
            <w:tcBorders>
              <w:top w:val="single" w:color="000000" w:sz="2" w:space="0"/>
              <w:bottom w:val="single" w:color="000000" w:sz="2" w:space="0"/>
            </w:tcBorders>
            <w:vAlign w:val="top"/>
          </w:tcPr>
          <w:p>
            <w:pPr>
              <w:spacing w:before="165" w:line="219" w:lineRule="auto"/>
              <w:jc w:val="center"/>
              <w:rPr>
                <w:rFonts w:ascii="宋体" w:hAnsi="宋体" w:eastAsia="宋体" w:cs="宋体"/>
                <w:sz w:val="20"/>
                <w:szCs w:val="20"/>
              </w:rPr>
            </w:pPr>
            <w:r>
              <w:rPr>
                <w:rFonts w:ascii="宋体" w:hAnsi="宋体" w:eastAsia="宋体" w:cs="宋体"/>
                <w:spacing w:val="-1"/>
                <w:sz w:val="20"/>
                <w:szCs w:val="20"/>
              </w:rPr>
              <w:t>≥年度任务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continue"/>
            <w:tcBorders>
              <w:top w:val="nil"/>
              <w:bottom w:val="nil"/>
            </w:tcBorders>
            <w:textDirection w:val="tbRlV"/>
            <w:vAlign w:val="top"/>
          </w:tcPr>
          <w:p>
            <w:pPr>
              <w:rPr>
                <w:rFonts w:ascii="Arial"/>
                <w:sz w:val="21"/>
              </w:rPr>
            </w:pPr>
          </w:p>
        </w:tc>
        <w:tc>
          <w:tcPr>
            <w:tcW w:w="1090" w:type="dxa"/>
            <w:tcBorders>
              <w:top w:val="single" w:color="000000" w:sz="2" w:space="0"/>
              <w:bottom w:val="single" w:color="000000" w:sz="2" w:space="0"/>
            </w:tcBorders>
            <w:vAlign w:val="top"/>
          </w:tcPr>
          <w:p>
            <w:pPr>
              <w:spacing w:before="205" w:line="220" w:lineRule="auto"/>
              <w:jc w:val="center"/>
              <w:rPr>
                <w:rFonts w:ascii="宋体" w:hAnsi="宋体" w:eastAsia="宋体" w:cs="宋体"/>
                <w:sz w:val="20"/>
                <w:szCs w:val="20"/>
              </w:rPr>
            </w:pPr>
            <w:r>
              <w:rPr>
                <w:rFonts w:ascii="宋体" w:hAnsi="宋体" w:eastAsia="宋体" w:cs="宋体"/>
                <w:spacing w:val="-2"/>
                <w:sz w:val="20"/>
                <w:szCs w:val="20"/>
              </w:rPr>
              <w:t>质量指标</w:t>
            </w:r>
          </w:p>
        </w:tc>
        <w:tc>
          <w:tcPr>
            <w:tcW w:w="1890" w:type="dxa"/>
            <w:gridSpan w:val="2"/>
            <w:tcBorders>
              <w:top w:val="single" w:color="000000" w:sz="2" w:space="0"/>
              <w:bottom w:val="single" w:color="000000" w:sz="2" w:space="0"/>
            </w:tcBorders>
            <w:vAlign w:val="top"/>
          </w:tcPr>
          <w:p>
            <w:pPr>
              <w:spacing w:before="205" w:line="219" w:lineRule="auto"/>
              <w:ind w:firstLine="34"/>
              <w:rPr>
                <w:rFonts w:ascii="宋体" w:hAnsi="宋体" w:eastAsia="宋体" w:cs="宋体"/>
                <w:sz w:val="20"/>
                <w:szCs w:val="20"/>
              </w:rPr>
            </w:pPr>
            <w:r>
              <w:rPr>
                <w:rFonts w:ascii="宋体" w:hAnsi="宋体" w:eastAsia="宋体" w:cs="宋体"/>
                <w:spacing w:val="-2"/>
                <w:sz w:val="20"/>
                <w:szCs w:val="20"/>
              </w:rPr>
              <w:t>验收合格率</w:t>
            </w:r>
          </w:p>
        </w:tc>
        <w:tc>
          <w:tcPr>
            <w:tcW w:w="2685" w:type="dxa"/>
            <w:gridSpan w:val="2"/>
            <w:tcBorders>
              <w:top w:val="single" w:color="000000" w:sz="2" w:space="0"/>
              <w:bottom w:val="single" w:color="000000" w:sz="2" w:space="0"/>
            </w:tcBorders>
            <w:vAlign w:val="top"/>
          </w:tcPr>
          <w:p>
            <w:pPr>
              <w:spacing w:before="256" w:line="185" w:lineRule="auto"/>
              <w:jc w:val="center"/>
              <w:rPr>
                <w:rFonts w:ascii="宋体" w:hAnsi="宋体" w:eastAsia="宋体" w:cs="宋体"/>
                <w:sz w:val="20"/>
                <w:szCs w:val="20"/>
              </w:rPr>
            </w:pPr>
            <w:r>
              <w:rPr>
                <w:rFonts w:ascii="宋体" w:hAnsi="宋体" w:eastAsia="宋体" w:cs="宋体"/>
                <w:spacing w:val="-5"/>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96" w:type="dxa"/>
            <w:vMerge w:val="continue"/>
            <w:tcBorders>
              <w:top w:val="nil"/>
              <w:bottom w:val="nil"/>
            </w:tcBorders>
            <w:textDirection w:val="tbRlV"/>
            <w:vAlign w:val="top"/>
          </w:tcPr>
          <w:p>
            <w:pPr>
              <w:rPr>
                <w:rFonts w:ascii="Arial"/>
                <w:sz w:val="21"/>
              </w:rPr>
            </w:pPr>
          </w:p>
        </w:tc>
        <w:tc>
          <w:tcPr>
            <w:tcW w:w="1260" w:type="dxa"/>
            <w:vMerge w:val="continue"/>
            <w:tcBorders>
              <w:top w:val="nil"/>
              <w:bottom w:val="single" w:color="000000" w:sz="2" w:space="0"/>
            </w:tcBorders>
            <w:textDirection w:val="tbRlV"/>
            <w:vAlign w:val="top"/>
          </w:tcPr>
          <w:p>
            <w:pPr>
              <w:rPr>
                <w:rFonts w:ascii="Arial"/>
                <w:sz w:val="21"/>
              </w:rPr>
            </w:pPr>
          </w:p>
        </w:tc>
        <w:tc>
          <w:tcPr>
            <w:tcW w:w="1090" w:type="dxa"/>
            <w:tcBorders>
              <w:top w:val="single" w:color="000000" w:sz="2" w:space="0"/>
              <w:bottom w:val="single" w:color="000000" w:sz="2" w:space="0"/>
            </w:tcBorders>
            <w:vAlign w:val="top"/>
          </w:tcPr>
          <w:p>
            <w:pPr>
              <w:spacing w:before="265" w:line="220" w:lineRule="auto"/>
              <w:jc w:val="center"/>
              <w:rPr>
                <w:rFonts w:ascii="宋体" w:hAnsi="宋体" w:eastAsia="宋体" w:cs="宋体"/>
                <w:sz w:val="20"/>
                <w:szCs w:val="20"/>
              </w:rPr>
            </w:pPr>
            <w:r>
              <w:rPr>
                <w:rFonts w:ascii="宋体" w:hAnsi="宋体" w:eastAsia="宋体" w:cs="宋体"/>
                <w:spacing w:val="1"/>
                <w:sz w:val="20"/>
                <w:szCs w:val="20"/>
              </w:rPr>
              <w:t>时效指标</w:t>
            </w:r>
          </w:p>
        </w:tc>
        <w:tc>
          <w:tcPr>
            <w:tcW w:w="1890" w:type="dxa"/>
            <w:gridSpan w:val="2"/>
            <w:tcBorders>
              <w:top w:val="single" w:color="000000" w:sz="2" w:space="0"/>
              <w:bottom w:val="single" w:color="000000" w:sz="2" w:space="0"/>
            </w:tcBorders>
            <w:vAlign w:val="top"/>
          </w:tcPr>
          <w:p>
            <w:pPr>
              <w:spacing w:before="265" w:line="219" w:lineRule="auto"/>
              <w:ind w:firstLine="34"/>
              <w:rPr>
                <w:rFonts w:ascii="宋体" w:hAnsi="宋体" w:eastAsia="宋体" w:cs="宋体"/>
                <w:sz w:val="20"/>
                <w:szCs w:val="20"/>
              </w:rPr>
            </w:pPr>
            <w:r>
              <w:rPr>
                <w:rFonts w:ascii="宋体" w:hAnsi="宋体" w:eastAsia="宋体" w:cs="宋体"/>
                <w:spacing w:val="-2"/>
                <w:sz w:val="20"/>
                <w:szCs w:val="20"/>
              </w:rPr>
              <w:t>开工目标完成率</w:t>
            </w:r>
          </w:p>
        </w:tc>
        <w:tc>
          <w:tcPr>
            <w:tcW w:w="2685" w:type="dxa"/>
            <w:gridSpan w:val="2"/>
            <w:tcBorders>
              <w:top w:val="single" w:color="000000" w:sz="2" w:space="0"/>
              <w:bottom w:val="single" w:color="000000" w:sz="2" w:space="0"/>
            </w:tcBorders>
            <w:vAlign w:val="top"/>
          </w:tcPr>
          <w:p>
            <w:pPr>
              <w:spacing w:line="249" w:lineRule="auto"/>
              <w:jc w:val="center"/>
              <w:rPr>
                <w:rFonts w:ascii="Arial"/>
                <w:sz w:val="21"/>
              </w:rPr>
            </w:pPr>
          </w:p>
          <w:p>
            <w:pPr>
              <w:spacing w:before="65" w:line="185" w:lineRule="auto"/>
              <w:jc w:val="center"/>
              <w:rPr>
                <w:rFonts w:ascii="宋体" w:hAnsi="宋体" w:eastAsia="宋体" w:cs="宋体"/>
                <w:sz w:val="20"/>
                <w:szCs w:val="20"/>
              </w:rPr>
            </w:pPr>
            <w:r>
              <w:rPr>
                <w:rFonts w:ascii="宋体" w:hAnsi="宋体" w:eastAsia="宋体" w:cs="宋体"/>
                <w:spacing w:val="-5"/>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096" w:type="dxa"/>
            <w:vMerge w:val="continue"/>
            <w:tcBorders>
              <w:top w:val="nil"/>
              <w:bottom w:val="nil"/>
            </w:tcBorders>
            <w:textDirection w:val="tbRlV"/>
            <w:vAlign w:val="top"/>
          </w:tcPr>
          <w:p>
            <w:pPr>
              <w:rPr>
                <w:rFonts w:ascii="Arial"/>
                <w:sz w:val="21"/>
              </w:rPr>
            </w:pPr>
          </w:p>
        </w:tc>
        <w:tc>
          <w:tcPr>
            <w:tcW w:w="1260" w:type="dxa"/>
            <w:tcBorders>
              <w:top w:val="single" w:color="000000" w:sz="2" w:space="0"/>
              <w:bottom w:val="single" w:color="000000" w:sz="2" w:space="0"/>
            </w:tcBorders>
            <w:textDirection w:val="tbRlV"/>
            <w:vAlign w:val="top"/>
          </w:tcPr>
          <w:p>
            <w:pPr>
              <w:spacing w:line="242" w:lineRule="auto"/>
              <w:rPr>
                <w:rFonts w:ascii="Arial"/>
                <w:sz w:val="21"/>
              </w:rPr>
            </w:pPr>
          </w:p>
          <w:p>
            <w:pPr>
              <w:spacing w:line="242" w:lineRule="auto"/>
              <w:rPr>
                <w:rFonts w:ascii="Arial"/>
                <w:sz w:val="21"/>
              </w:rPr>
            </w:pPr>
          </w:p>
          <w:p>
            <w:pPr>
              <w:spacing w:before="68" w:line="216" w:lineRule="auto"/>
              <w:ind w:firstLine="198"/>
              <w:rPr>
                <w:rFonts w:ascii="宋体" w:hAnsi="宋体" w:eastAsia="宋体" w:cs="宋体"/>
                <w:sz w:val="20"/>
                <w:szCs w:val="20"/>
              </w:rPr>
            </w:pPr>
            <w:r>
              <w:rPr>
                <w:rFonts w:ascii="宋体" w:hAnsi="宋体" w:eastAsia="宋体" w:cs="宋体"/>
                <w:sz w:val="20"/>
                <w:szCs w:val="20"/>
              </w:rPr>
              <w:t>效益指标</w:t>
            </w:r>
          </w:p>
        </w:tc>
        <w:tc>
          <w:tcPr>
            <w:tcW w:w="1090" w:type="dxa"/>
            <w:tcBorders>
              <w:top w:val="single" w:color="000000" w:sz="2" w:space="0"/>
              <w:bottom w:val="single" w:color="000000" w:sz="2" w:space="0"/>
            </w:tcBorders>
            <w:vAlign w:val="top"/>
          </w:tcPr>
          <w:p>
            <w:pPr>
              <w:spacing w:before="65" w:line="223" w:lineRule="auto"/>
              <w:jc w:val="center"/>
              <w:rPr>
                <w:rFonts w:ascii="宋体" w:hAnsi="宋体" w:eastAsia="宋体" w:cs="宋体"/>
                <w:spacing w:val="-2"/>
                <w:sz w:val="20"/>
                <w:szCs w:val="20"/>
              </w:rPr>
            </w:pPr>
          </w:p>
          <w:p>
            <w:pPr>
              <w:spacing w:before="65" w:line="223" w:lineRule="auto"/>
              <w:jc w:val="center"/>
              <w:rPr>
                <w:rFonts w:ascii="宋体" w:hAnsi="宋体" w:eastAsia="宋体" w:cs="宋体"/>
                <w:sz w:val="20"/>
                <w:szCs w:val="20"/>
              </w:rPr>
            </w:pPr>
            <w:r>
              <w:rPr>
                <w:rFonts w:ascii="宋体" w:hAnsi="宋体" w:eastAsia="宋体" w:cs="宋体"/>
                <w:spacing w:val="-2"/>
                <w:sz w:val="20"/>
                <w:szCs w:val="20"/>
              </w:rPr>
              <w:t>社会效益</w:t>
            </w:r>
          </w:p>
          <w:p>
            <w:pPr>
              <w:spacing w:line="220" w:lineRule="auto"/>
              <w:jc w:val="center"/>
              <w:rPr>
                <w:rFonts w:ascii="宋体" w:hAnsi="宋体" w:eastAsia="宋体" w:cs="宋体"/>
                <w:sz w:val="20"/>
                <w:szCs w:val="20"/>
              </w:rPr>
            </w:pPr>
            <w:r>
              <w:rPr>
                <w:rFonts w:ascii="宋体" w:hAnsi="宋体" w:eastAsia="宋体" w:cs="宋体"/>
                <w:spacing w:val="-3"/>
                <w:sz w:val="20"/>
                <w:szCs w:val="20"/>
              </w:rPr>
              <w:t>指标</w:t>
            </w:r>
          </w:p>
        </w:tc>
        <w:tc>
          <w:tcPr>
            <w:tcW w:w="1890" w:type="dxa"/>
            <w:gridSpan w:val="2"/>
            <w:tcBorders>
              <w:top w:val="single" w:color="000000" w:sz="2" w:space="0"/>
              <w:bottom w:val="single" w:color="000000" w:sz="2" w:space="0"/>
            </w:tcBorders>
            <w:vAlign w:val="top"/>
          </w:tcPr>
          <w:p>
            <w:pPr>
              <w:spacing w:line="448" w:lineRule="auto"/>
              <w:rPr>
                <w:rFonts w:ascii="Arial"/>
                <w:sz w:val="21"/>
              </w:rPr>
            </w:pPr>
          </w:p>
          <w:p>
            <w:pPr>
              <w:spacing w:before="65" w:line="219" w:lineRule="auto"/>
              <w:ind w:firstLine="34"/>
              <w:rPr>
                <w:rFonts w:ascii="宋体" w:hAnsi="宋体" w:eastAsia="宋体" w:cs="宋体"/>
                <w:sz w:val="20"/>
                <w:szCs w:val="20"/>
              </w:rPr>
            </w:pPr>
            <w:r>
              <w:rPr>
                <w:rFonts w:ascii="宋体" w:hAnsi="宋体" w:eastAsia="宋体" w:cs="宋体"/>
                <w:spacing w:val="-1"/>
                <w:sz w:val="20"/>
                <w:szCs w:val="20"/>
              </w:rPr>
              <w:t>群众居住条件是否改善</w:t>
            </w:r>
          </w:p>
        </w:tc>
        <w:tc>
          <w:tcPr>
            <w:tcW w:w="2685" w:type="dxa"/>
            <w:gridSpan w:val="2"/>
            <w:tcBorders>
              <w:top w:val="single" w:color="000000" w:sz="2" w:space="0"/>
              <w:bottom w:val="single" w:color="000000" w:sz="2" w:space="0"/>
            </w:tcBorders>
            <w:vAlign w:val="top"/>
          </w:tcPr>
          <w:p>
            <w:pPr>
              <w:spacing w:line="448" w:lineRule="auto"/>
              <w:jc w:val="center"/>
              <w:rPr>
                <w:rFonts w:ascii="Arial"/>
                <w:sz w:val="21"/>
              </w:rPr>
            </w:pPr>
          </w:p>
          <w:p>
            <w:pPr>
              <w:spacing w:before="65" w:line="219" w:lineRule="auto"/>
              <w:jc w:val="center"/>
              <w:rPr>
                <w:rFonts w:ascii="宋体" w:hAnsi="宋体" w:eastAsia="宋体" w:cs="宋体"/>
                <w:sz w:val="20"/>
                <w:szCs w:val="20"/>
              </w:rPr>
            </w:pPr>
            <w:r>
              <w:rPr>
                <w:rFonts w:ascii="宋体" w:hAnsi="宋体" w:eastAsia="宋体" w:cs="宋体"/>
                <w:spacing w:val="-2"/>
                <w:sz w:val="20"/>
                <w:szCs w:val="20"/>
              </w:rPr>
              <w:t>有效改善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096" w:type="dxa"/>
            <w:vMerge w:val="continue"/>
            <w:tcBorders>
              <w:top w:val="nil"/>
              <w:bottom w:val="single" w:color="000000" w:sz="2" w:space="0"/>
            </w:tcBorders>
            <w:textDirection w:val="tbRlV"/>
            <w:vAlign w:val="top"/>
          </w:tcPr>
          <w:p>
            <w:pPr>
              <w:rPr>
                <w:rFonts w:ascii="Arial"/>
                <w:sz w:val="21"/>
              </w:rPr>
            </w:pPr>
          </w:p>
        </w:tc>
        <w:tc>
          <w:tcPr>
            <w:tcW w:w="1260" w:type="dxa"/>
            <w:tcBorders>
              <w:top w:val="single" w:color="000000" w:sz="2" w:space="0"/>
              <w:bottom w:val="single" w:color="000000" w:sz="2" w:space="0"/>
            </w:tcBorders>
            <w:vAlign w:val="top"/>
          </w:tcPr>
          <w:p>
            <w:pPr>
              <w:spacing w:line="419" w:lineRule="auto"/>
              <w:rPr>
                <w:rFonts w:ascii="Arial"/>
                <w:sz w:val="21"/>
              </w:rPr>
            </w:pPr>
          </w:p>
          <w:p>
            <w:pPr>
              <w:spacing w:before="65" w:line="219" w:lineRule="auto"/>
              <w:ind w:firstLine="151"/>
              <w:rPr>
                <w:rFonts w:ascii="宋体" w:hAnsi="宋体" w:eastAsia="宋体" w:cs="宋体"/>
                <w:sz w:val="20"/>
                <w:szCs w:val="20"/>
              </w:rPr>
            </w:pPr>
            <w:r>
              <w:rPr>
                <w:rFonts w:ascii="宋体" w:hAnsi="宋体" w:eastAsia="宋体" w:cs="宋体"/>
                <w:spacing w:val="-2"/>
                <w:sz w:val="20"/>
                <w:szCs w:val="20"/>
              </w:rPr>
              <w:t>满意度指标</w:t>
            </w:r>
          </w:p>
        </w:tc>
        <w:tc>
          <w:tcPr>
            <w:tcW w:w="1090" w:type="dxa"/>
            <w:tcBorders>
              <w:top w:val="single" w:color="000000" w:sz="2" w:space="0"/>
              <w:bottom w:val="single" w:color="000000" w:sz="2" w:space="0"/>
            </w:tcBorders>
            <w:vAlign w:val="top"/>
          </w:tcPr>
          <w:p>
            <w:pPr>
              <w:spacing w:before="65" w:line="246" w:lineRule="auto"/>
              <w:ind w:right="172"/>
              <w:jc w:val="center"/>
              <w:rPr>
                <w:rFonts w:ascii="宋体" w:hAnsi="宋体" w:eastAsia="宋体" w:cs="宋体"/>
                <w:spacing w:val="-2"/>
                <w:sz w:val="20"/>
                <w:szCs w:val="20"/>
              </w:rPr>
            </w:pPr>
          </w:p>
          <w:p>
            <w:pPr>
              <w:spacing w:before="65" w:line="246" w:lineRule="auto"/>
              <w:ind w:right="172"/>
              <w:jc w:val="center"/>
              <w:rPr>
                <w:rFonts w:ascii="宋体" w:hAnsi="宋体" w:eastAsia="宋体" w:cs="宋体"/>
                <w:sz w:val="20"/>
                <w:szCs w:val="20"/>
              </w:rPr>
            </w:pPr>
            <w:r>
              <w:rPr>
                <w:rFonts w:ascii="宋体" w:hAnsi="宋体" w:eastAsia="宋体" w:cs="宋体"/>
                <w:spacing w:val="-2"/>
                <w:sz w:val="20"/>
                <w:szCs w:val="20"/>
              </w:rPr>
              <w:t>服务对象</w:t>
            </w:r>
            <w:r>
              <w:rPr>
                <w:rFonts w:ascii="宋体" w:hAnsi="宋体" w:eastAsia="宋体" w:cs="宋体"/>
                <w:sz w:val="20"/>
                <w:szCs w:val="20"/>
              </w:rPr>
              <w:t xml:space="preserve">  </w:t>
            </w:r>
            <w:r>
              <w:rPr>
                <w:rFonts w:ascii="宋体" w:hAnsi="宋体" w:eastAsia="宋体" w:cs="宋体"/>
                <w:spacing w:val="-2"/>
                <w:sz w:val="20"/>
                <w:szCs w:val="20"/>
              </w:rPr>
              <w:t>满意度指标</w:t>
            </w:r>
          </w:p>
        </w:tc>
        <w:tc>
          <w:tcPr>
            <w:tcW w:w="1890" w:type="dxa"/>
            <w:gridSpan w:val="2"/>
            <w:tcBorders>
              <w:top w:val="single" w:color="000000" w:sz="2" w:space="0"/>
              <w:bottom w:val="single" w:color="000000" w:sz="2" w:space="0"/>
            </w:tcBorders>
            <w:vAlign w:val="top"/>
          </w:tcPr>
          <w:p>
            <w:pPr>
              <w:spacing w:line="419" w:lineRule="auto"/>
              <w:rPr>
                <w:rFonts w:ascii="Arial"/>
                <w:sz w:val="21"/>
              </w:rPr>
            </w:pPr>
          </w:p>
          <w:p>
            <w:pPr>
              <w:spacing w:before="65" w:line="219" w:lineRule="auto"/>
              <w:ind w:firstLine="34"/>
              <w:rPr>
                <w:rFonts w:ascii="宋体" w:hAnsi="宋体" w:eastAsia="宋体" w:cs="宋体"/>
                <w:sz w:val="20"/>
                <w:szCs w:val="20"/>
              </w:rPr>
            </w:pPr>
            <w:r>
              <w:rPr>
                <w:rFonts w:ascii="宋体" w:hAnsi="宋体" w:eastAsia="宋体" w:cs="宋体"/>
                <w:spacing w:val="1"/>
                <w:sz w:val="20"/>
                <w:szCs w:val="20"/>
              </w:rPr>
              <w:t>老旧小区居民满意度</w:t>
            </w:r>
          </w:p>
        </w:tc>
        <w:tc>
          <w:tcPr>
            <w:tcW w:w="2685" w:type="dxa"/>
            <w:gridSpan w:val="2"/>
            <w:tcBorders>
              <w:top w:val="single" w:color="000000" w:sz="2" w:space="0"/>
              <w:bottom w:val="single" w:color="000000" w:sz="2" w:space="0"/>
            </w:tcBorders>
            <w:vAlign w:val="top"/>
          </w:tcPr>
          <w:p>
            <w:pPr>
              <w:spacing w:line="439" w:lineRule="auto"/>
              <w:rPr>
                <w:rFonts w:ascii="Arial"/>
                <w:sz w:val="21"/>
              </w:rPr>
            </w:pPr>
          </w:p>
          <w:p>
            <w:pPr>
              <w:spacing w:before="65" w:line="237" w:lineRule="auto"/>
              <w:jc w:val="center"/>
              <w:rPr>
                <w:rFonts w:ascii="宋体" w:hAnsi="宋体" w:eastAsia="宋体" w:cs="宋体"/>
                <w:sz w:val="20"/>
                <w:szCs w:val="20"/>
              </w:rPr>
            </w:pPr>
            <w:r>
              <w:rPr>
                <w:rFonts w:ascii="宋体" w:hAnsi="宋体" w:eastAsia="宋体" w:cs="宋体"/>
                <w:spacing w:val="-6"/>
                <w:sz w:val="20"/>
                <w:szCs w:val="20"/>
              </w:rPr>
              <w:t>≥80%</w:t>
            </w:r>
          </w:p>
        </w:tc>
      </w:tr>
    </w:tbl>
    <w:p>
      <w:pPr>
        <w:rPr>
          <w:rFonts w:ascii="Arial"/>
          <w:sz w:val="21"/>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91B3E"/>
    <w:rsid w:val="49F91B3E"/>
    <w:rsid w:val="6D1A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2022-07-12T07:31:00Z</dcterms:created>
  <dc:creator>Administrator</dc:creator>
  <cp:lastModifiedBy>Administrator</cp:lastModifiedBy>
  <cp:lastPrinted>2022-07-12T08:22:17Z</cp:lastPrinted>
  <dcterms:modified xsi:type="dcterms:W3CDTF">2022-07-12T08:40:12Z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